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5F373E" w:rsidRPr="00E3386E" w:rsidTr="00F91A54">
        <w:trPr>
          <w:trHeight w:val="914"/>
        </w:trPr>
        <w:tc>
          <w:tcPr>
            <w:tcW w:w="1418" w:type="dxa"/>
          </w:tcPr>
          <w:p w:rsidR="005F373E" w:rsidRDefault="005F373E" w:rsidP="00B55F5A">
            <w:pPr>
              <w:jc w:val="center"/>
              <w:rPr>
                <w:rFonts w:ascii="Arial" w:hAnsi="Arial" w:cs="Arial"/>
                <w:b/>
                <w:sz w:val="18"/>
                <w:szCs w:val="18"/>
              </w:rPr>
            </w:pPr>
          </w:p>
          <w:p w:rsidR="005F373E" w:rsidRPr="00F12850" w:rsidRDefault="005F373E" w:rsidP="00B55F5A">
            <w:pPr>
              <w:jc w:val="center"/>
              <w:rPr>
                <w:rFonts w:ascii="Arial" w:hAnsi="Arial" w:cs="Arial"/>
                <w:b/>
                <w:sz w:val="18"/>
                <w:szCs w:val="18"/>
              </w:rPr>
            </w:pPr>
            <w:r>
              <w:rPr>
                <w:rFonts w:ascii="Arial" w:hAnsi="Arial" w:cs="Arial"/>
                <w:b/>
                <w:sz w:val="18"/>
                <w:szCs w:val="18"/>
              </w:rPr>
              <w:t>LPN-CMOP-RESCATE-067</w:t>
            </w:r>
            <w:r w:rsidRPr="00F12850">
              <w:rPr>
                <w:rFonts w:ascii="Arial" w:hAnsi="Arial" w:cs="Arial"/>
                <w:b/>
                <w:sz w:val="18"/>
                <w:szCs w:val="18"/>
              </w:rPr>
              <w:t>/2012</w:t>
            </w:r>
          </w:p>
          <w:p w:rsidR="005F373E" w:rsidRPr="00F12850" w:rsidRDefault="005F373E" w:rsidP="00B55F5A">
            <w:pPr>
              <w:rPr>
                <w:rFonts w:ascii="Arial" w:hAnsi="Arial" w:cs="Arial"/>
                <w:b/>
                <w:sz w:val="18"/>
                <w:szCs w:val="18"/>
              </w:rPr>
            </w:pPr>
          </w:p>
          <w:p w:rsidR="005F373E" w:rsidRPr="00E3386E" w:rsidRDefault="005F373E" w:rsidP="00B55F5A">
            <w:pPr>
              <w:jc w:val="center"/>
              <w:rPr>
                <w:rFonts w:ascii="Arial" w:hAnsi="Arial" w:cs="Arial"/>
                <w:b/>
                <w:sz w:val="16"/>
                <w:szCs w:val="16"/>
              </w:rPr>
            </w:pPr>
          </w:p>
        </w:tc>
        <w:tc>
          <w:tcPr>
            <w:tcW w:w="2621" w:type="dxa"/>
            <w:vMerge w:val="restart"/>
          </w:tcPr>
          <w:p w:rsidR="005F373E" w:rsidRPr="00A16737" w:rsidRDefault="005F373E" w:rsidP="003A30C8">
            <w:pPr>
              <w:jc w:val="both"/>
              <w:rPr>
                <w:rFonts w:ascii="Arial" w:hAnsi="Arial" w:cs="Arial"/>
                <w:sz w:val="18"/>
                <w:szCs w:val="18"/>
              </w:rPr>
            </w:pPr>
            <w:r w:rsidRPr="00A16737">
              <w:rPr>
                <w:rFonts w:ascii="Arial" w:hAnsi="Arial" w:cs="Arial"/>
                <w:sz w:val="18"/>
                <w:szCs w:val="18"/>
              </w:rPr>
              <w:t xml:space="preserve">REHABILITACIÓN DE PARQUE EN LA UNIDAD HABITACIONAL </w:t>
            </w:r>
            <w:r w:rsidRPr="008642B0">
              <w:rPr>
                <w:rFonts w:ascii="Arial" w:hAnsi="Arial" w:cs="Arial"/>
                <w:b/>
                <w:sz w:val="18"/>
                <w:szCs w:val="18"/>
              </w:rPr>
              <w:t>MATEO DE REGIL</w:t>
            </w:r>
            <w:r w:rsidRPr="00A16737">
              <w:rPr>
                <w:rFonts w:ascii="Arial" w:hAnsi="Arial" w:cs="Arial"/>
                <w:sz w:val="18"/>
                <w:szCs w:val="18"/>
              </w:rPr>
              <w:t xml:space="preserve"> UBICADA EN CIRCUITO DE LAS FLORES S/N ENTRE LA CALLE DE LAS ROSAS Y CALLE DE LOS LIMONEROS DE LA UNIDAD HABITACIONAL MATEO DE REGIL, DEL MUNICIPIO DE PUEBLA.</w:t>
            </w:r>
          </w:p>
        </w:tc>
        <w:tc>
          <w:tcPr>
            <w:tcW w:w="1134" w:type="dxa"/>
          </w:tcPr>
          <w:p w:rsidR="005F373E" w:rsidRPr="00A16737" w:rsidRDefault="005F373E" w:rsidP="003A30C8">
            <w:pPr>
              <w:jc w:val="center"/>
              <w:rPr>
                <w:rFonts w:ascii="Arial" w:hAnsi="Arial" w:cs="Arial"/>
                <w:sz w:val="18"/>
                <w:szCs w:val="18"/>
              </w:rPr>
            </w:pPr>
          </w:p>
          <w:p w:rsidR="005F373E" w:rsidRPr="00A16737" w:rsidRDefault="005F373E" w:rsidP="003A30C8">
            <w:pPr>
              <w:jc w:val="center"/>
              <w:rPr>
                <w:rFonts w:ascii="Arial" w:hAnsi="Arial" w:cs="Arial"/>
                <w:sz w:val="18"/>
                <w:szCs w:val="18"/>
              </w:rPr>
            </w:pPr>
            <w:r w:rsidRPr="00A16737">
              <w:rPr>
                <w:rFonts w:ascii="Arial" w:hAnsi="Arial" w:cs="Arial"/>
                <w:sz w:val="18"/>
                <w:szCs w:val="18"/>
              </w:rPr>
              <w:t xml:space="preserve">30 de agosto de  </w:t>
            </w:r>
            <w:smartTag w:uri="urn:schemas-microsoft-com:office:smarttags" w:element="metricconverter">
              <w:smartTagPr>
                <w:attr w:name="ProductID" w:val="2012 a"/>
              </w:smartTagPr>
              <w:r w:rsidRPr="00A16737">
                <w:rPr>
                  <w:rFonts w:ascii="Arial" w:hAnsi="Arial" w:cs="Arial"/>
                  <w:sz w:val="18"/>
                  <w:szCs w:val="18"/>
                </w:rPr>
                <w:t>2012 a</w:t>
              </w:r>
            </w:smartTag>
            <w:r w:rsidRPr="00A16737">
              <w:rPr>
                <w:rFonts w:ascii="Arial" w:hAnsi="Arial" w:cs="Arial"/>
                <w:sz w:val="18"/>
                <w:szCs w:val="18"/>
              </w:rPr>
              <w:t xml:space="preserve"> las</w:t>
            </w:r>
          </w:p>
          <w:p w:rsidR="005F373E" w:rsidRPr="00A16737" w:rsidRDefault="005F373E" w:rsidP="003A30C8">
            <w:pPr>
              <w:jc w:val="center"/>
              <w:rPr>
                <w:rFonts w:ascii="Arial" w:hAnsi="Arial" w:cs="Arial"/>
                <w:sz w:val="18"/>
                <w:szCs w:val="18"/>
              </w:rPr>
            </w:pPr>
            <w:r>
              <w:rPr>
                <w:rFonts w:ascii="Arial" w:hAnsi="Arial" w:cs="Arial"/>
                <w:sz w:val="18"/>
                <w:szCs w:val="18"/>
              </w:rPr>
              <w:t>14</w:t>
            </w:r>
            <w:r w:rsidRPr="00A16737">
              <w:rPr>
                <w:rFonts w:ascii="Arial" w:hAnsi="Arial" w:cs="Arial"/>
                <w:sz w:val="18"/>
                <w:szCs w:val="18"/>
              </w:rPr>
              <w:t>:00 horas</w:t>
            </w:r>
          </w:p>
        </w:tc>
        <w:tc>
          <w:tcPr>
            <w:tcW w:w="1276" w:type="dxa"/>
          </w:tcPr>
          <w:p w:rsidR="005F373E" w:rsidRPr="00A16737" w:rsidRDefault="005F373E" w:rsidP="003A30C8">
            <w:pPr>
              <w:jc w:val="center"/>
              <w:rPr>
                <w:rFonts w:ascii="Arial" w:hAnsi="Arial" w:cs="Arial"/>
                <w:sz w:val="18"/>
                <w:szCs w:val="18"/>
              </w:rPr>
            </w:pPr>
          </w:p>
          <w:p w:rsidR="005F373E" w:rsidRPr="00A16737" w:rsidRDefault="005F373E" w:rsidP="003A30C8">
            <w:pPr>
              <w:jc w:val="center"/>
              <w:rPr>
                <w:rFonts w:ascii="Arial" w:hAnsi="Arial" w:cs="Arial"/>
                <w:sz w:val="18"/>
                <w:szCs w:val="18"/>
              </w:rPr>
            </w:pPr>
            <w:r w:rsidRPr="00A16737">
              <w:rPr>
                <w:rFonts w:ascii="Arial" w:hAnsi="Arial" w:cs="Arial"/>
                <w:sz w:val="18"/>
                <w:szCs w:val="18"/>
              </w:rPr>
              <w:t xml:space="preserve">31 de agosto de  </w:t>
            </w:r>
            <w:smartTag w:uri="urn:schemas-microsoft-com:office:smarttags" w:element="metricconverter">
              <w:smartTagPr>
                <w:attr w:name="ProductID" w:val="2012 a"/>
              </w:smartTagPr>
              <w:r w:rsidRPr="00A16737">
                <w:rPr>
                  <w:rFonts w:ascii="Arial" w:hAnsi="Arial" w:cs="Arial"/>
                  <w:sz w:val="18"/>
                  <w:szCs w:val="18"/>
                </w:rPr>
                <w:t>2012 a</w:t>
              </w:r>
            </w:smartTag>
            <w:r w:rsidRPr="00A16737">
              <w:rPr>
                <w:rFonts w:ascii="Arial" w:hAnsi="Arial" w:cs="Arial"/>
                <w:sz w:val="18"/>
                <w:szCs w:val="18"/>
              </w:rPr>
              <w:t xml:space="preserve"> las</w:t>
            </w:r>
          </w:p>
          <w:p w:rsidR="005F373E" w:rsidRPr="00A16737" w:rsidRDefault="005F373E" w:rsidP="003A30C8">
            <w:pPr>
              <w:jc w:val="center"/>
              <w:rPr>
                <w:rFonts w:ascii="Arial" w:hAnsi="Arial" w:cs="Arial"/>
                <w:sz w:val="18"/>
                <w:szCs w:val="18"/>
              </w:rPr>
            </w:pPr>
            <w:r w:rsidRPr="00A16737">
              <w:rPr>
                <w:rFonts w:ascii="Arial" w:hAnsi="Arial" w:cs="Arial"/>
                <w:sz w:val="18"/>
                <w:szCs w:val="18"/>
              </w:rPr>
              <w:t>1</w:t>
            </w:r>
            <w:r>
              <w:rPr>
                <w:rFonts w:ascii="Arial" w:hAnsi="Arial" w:cs="Arial"/>
                <w:sz w:val="18"/>
                <w:szCs w:val="18"/>
              </w:rPr>
              <w:t>5</w:t>
            </w:r>
            <w:r w:rsidRPr="00A16737">
              <w:rPr>
                <w:rFonts w:ascii="Arial" w:hAnsi="Arial" w:cs="Arial"/>
                <w:sz w:val="18"/>
                <w:szCs w:val="18"/>
              </w:rPr>
              <w:t>:00 horas</w:t>
            </w:r>
          </w:p>
        </w:tc>
        <w:tc>
          <w:tcPr>
            <w:tcW w:w="1276" w:type="dxa"/>
          </w:tcPr>
          <w:p w:rsidR="005F373E" w:rsidRPr="00A16737" w:rsidRDefault="005F373E" w:rsidP="003A30C8">
            <w:pPr>
              <w:jc w:val="center"/>
              <w:rPr>
                <w:rFonts w:ascii="Arial" w:hAnsi="Arial" w:cs="Arial"/>
                <w:sz w:val="18"/>
                <w:szCs w:val="18"/>
              </w:rPr>
            </w:pPr>
          </w:p>
          <w:p w:rsidR="005F373E" w:rsidRPr="00A16737" w:rsidRDefault="005F373E" w:rsidP="003A30C8">
            <w:pPr>
              <w:jc w:val="center"/>
              <w:rPr>
                <w:rFonts w:ascii="Arial" w:hAnsi="Arial" w:cs="Arial"/>
                <w:sz w:val="18"/>
                <w:szCs w:val="18"/>
              </w:rPr>
            </w:pPr>
            <w:r w:rsidRPr="00A16737">
              <w:rPr>
                <w:rFonts w:ascii="Arial" w:hAnsi="Arial" w:cs="Arial"/>
                <w:sz w:val="18"/>
                <w:szCs w:val="18"/>
              </w:rPr>
              <w:t xml:space="preserve">6 de septiembre de  </w:t>
            </w:r>
            <w:smartTag w:uri="urn:schemas-microsoft-com:office:smarttags" w:element="metricconverter">
              <w:smartTagPr>
                <w:attr w:name="ProductID" w:val="2012 a"/>
              </w:smartTagPr>
              <w:r w:rsidRPr="00A16737">
                <w:rPr>
                  <w:rFonts w:ascii="Arial" w:hAnsi="Arial" w:cs="Arial"/>
                  <w:sz w:val="18"/>
                  <w:szCs w:val="18"/>
                </w:rPr>
                <w:t>2012 a</w:t>
              </w:r>
            </w:smartTag>
            <w:r w:rsidRPr="00A16737">
              <w:rPr>
                <w:rFonts w:ascii="Arial" w:hAnsi="Arial" w:cs="Arial"/>
                <w:sz w:val="18"/>
                <w:szCs w:val="18"/>
              </w:rPr>
              <w:t xml:space="preserve"> las</w:t>
            </w:r>
          </w:p>
          <w:p w:rsidR="005F373E" w:rsidRPr="00A16737" w:rsidRDefault="005F373E" w:rsidP="003A30C8">
            <w:pPr>
              <w:jc w:val="center"/>
              <w:rPr>
                <w:rFonts w:ascii="Arial" w:hAnsi="Arial" w:cs="Arial"/>
                <w:sz w:val="18"/>
                <w:szCs w:val="18"/>
              </w:rPr>
            </w:pPr>
            <w:r>
              <w:rPr>
                <w:rFonts w:ascii="Arial" w:hAnsi="Arial" w:cs="Arial"/>
                <w:sz w:val="18"/>
                <w:szCs w:val="18"/>
              </w:rPr>
              <w:t>15</w:t>
            </w:r>
            <w:r w:rsidRPr="00A16737">
              <w:rPr>
                <w:rFonts w:ascii="Arial" w:hAnsi="Arial" w:cs="Arial"/>
                <w:sz w:val="18"/>
                <w:szCs w:val="18"/>
              </w:rPr>
              <w:t>:00 horas</w:t>
            </w:r>
          </w:p>
        </w:tc>
        <w:tc>
          <w:tcPr>
            <w:tcW w:w="1134" w:type="dxa"/>
          </w:tcPr>
          <w:p w:rsidR="005F373E" w:rsidRPr="00A16737" w:rsidRDefault="005F373E" w:rsidP="003A30C8">
            <w:pPr>
              <w:jc w:val="center"/>
              <w:rPr>
                <w:rFonts w:ascii="Arial" w:hAnsi="Arial" w:cs="Arial"/>
                <w:sz w:val="18"/>
                <w:szCs w:val="18"/>
              </w:rPr>
            </w:pPr>
          </w:p>
          <w:p w:rsidR="005F373E" w:rsidRPr="00A16737" w:rsidRDefault="005F373E" w:rsidP="003A30C8">
            <w:pPr>
              <w:jc w:val="center"/>
              <w:rPr>
                <w:rFonts w:ascii="Arial" w:hAnsi="Arial" w:cs="Arial"/>
                <w:sz w:val="18"/>
                <w:szCs w:val="18"/>
              </w:rPr>
            </w:pPr>
            <w:r w:rsidRPr="00A16737">
              <w:rPr>
                <w:rFonts w:ascii="Arial" w:hAnsi="Arial" w:cs="Arial"/>
                <w:sz w:val="18"/>
                <w:szCs w:val="18"/>
              </w:rPr>
              <w:t xml:space="preserve">10 de septiembre de  </w:t>
            </w:r>
            <w:smartTag w:uri="urn:schemas-microsoft-com:office:smarttags" w:element="metricconverter">
              <w:smartTagPr>
                <w:attr w:name="ProductID" w:val="2012 a"/>
              </w:smartTagPr>
              <w:r w:rsidRPr="00A16737">
                <w:rPr>
                  <w:rFonts w:ascii="Arial" w:hAnsi="Arial" w:cs="Arial"/>
                  <w:sz w:val="18"/>
                  <w:szCs w:val="18"/>
                </w:rPr>
                <w:t>2012 a</w:t>
              </w:r>
            </w:smartTag>
            <w:r w:rsidRPr="00A16737">
              <w:rPr>
                <w:rFonts w:ascii="Arial" w:hAnsi="Arial" w:cs="Arial"/>
                <w:sz w:val="18"/>
                <w:szCs w:val="18"/>
              </w:rPr>
              <w:t xml:space="preserve"> las</w:t>
            </w:r>
          </w:p>
          <w:p w:rsidR="005F373E" w:rsidRPr="00A16737" w:rsidRDefault="005F373E" w:rsidP="003A30C8">
            <w:pPr>
              <w:jc w:val="center"/>
              <w:rPr>
                <w:rFonts w:ascii="Arial" w:hAnsi="Arial" w:cs="Arial"/>
                <w:sz w:val="18"/>
                <w:szCs w:val="18"/>
              </w:rPr>
            </w:pPr>
            <w:r w:rsidRPr="00A16737">
              <w:rPr>
                <w:rFonts w:ascii="Arial" w:hAnsi="Arial" w:cs="Arial"/>
                <w:sz w:val="18"/>
                <w:szCs w:val="18"/>
              </w:rPr>
              <w:t>1</w:t>
            </w:r>
            <w:r>
              <w:rPr>
                <w:rFonts w:ascii="Arial" w:hAnsi="Arial" w:cs="Arial"/>
                <w:sz w:val="18"/>
                <w:szCs w:val="18"/>
              </w:rPr>
              <w:t>3</w:t>
            </w:r>
            <w:r w:rsidRPr="00A16737">
              <w:rPr>
                <w:rFonts w:ascii="Arial" w:hAnsi="Arial" w:cs="Arial"/>
                <w:sz w:val="18"/>
                <w:szCs w:val="18"/>
              </w:rPr>
              <w:t>:</w:t>
            </w:r>
            <w:r>
              <w:rPr>
                <w:rFonts w:ascii="Arial" w:hAnsi="Arial" w:cs="Arial"/>
                <w:sz w:val="18"/>
                <w:szCs w:val="18"/>
              </w:rPr>
              <w:t>15</w:t>
            </w:r>
            <w:r w:rsidRPr="00A16737">
              <w:rPr>
                <w:rFonts w:ascii="Arial" w:hAnsi="Arial" w:cs="Arial"/>
                <w:sz w:val="18"/>
                <w:szCs w:val="18"/>
              </w:rPr>
              <w:t xml:space="preserve"> horas</w:t>
            </w:r>
          </w:p>
        </w:tc>
      </w:tr>
      <w:tr w:rsidR="005F373E" w:rsidRPr="00E3386E" w:rsidTr="00F91A54">
        <w:trPr>
          <w:trHeight w:val="914"/>
        </w:trPr>
        <w:tc>
          <w:tcPr>
            <w:tcW w:w="1418" w:type="dxa"/>
          </w:tcPr>
          <w:p w:rsidR="005F373E" w:rsidRPr="00E3386E" w:rsidRDefault="005F373E" w:rsidP="00F91A54">
            <w:pPr>
              <w:jc w:val="center"/>
              <w:rPr>
                <w:rFonts w:ascii="Arial" w:hAnsi="Arial" w:cs="Arial"/>
                <w:b/>
                <w:sz w:val="16"/>
                <w:szCs w:val="16"/>
              </w:rPr>
            </w:pPr>
          </w:p>
          <w:p w:rsidR="005F373E" w:rsidRDefault="005F373E" w:rsidP="00F91A54">
            <w:pPr>
              <w:jc w:val="center"/>
              <w:rPr>
                <w:rFonts w:ascii="Arial" w:hAnsi="Arial" w:cs="Arial"/>
                <w:b/>
                <w:sz w:val="16"/>
                <w:szCs w:val="16"/>
              </w:rPr>
            </w:pPr>
            <w:r w:rsidRPr="00E3386E">
              <w:rPr>
                <w:rFonts w:ascii="Arial" w:hAnsi="Arial" w:cs="Arial"/>
                <w:b/>
                <w:sz w:val="16"/>
                <w:szCs w:val="16"/>
              </w:rPr>
              <w:t>Obra No.</w:t>
            </w:r>
          </w:p>
          <w:p w:rsidR="005F373E" w:rsidRDefault="005F373E" w:rsidP="00F91A54">
            <w:pPr>
              <w:jc w:val="center"/>
              <w:rPr>
                <w:rFonts w:ascii="Arial" w:hAnsi="Arial" w:cs="Arial"/>
                <w:b/>
                <w:sz w:val="16"/>
                <w:szCs w:val="16"/>
              </w:rPr>
            </w:pPr>
            <w:r>
              <w:rPr>
                <w:rFonts w:ascii="Arial" w:hAnsi="Arial" w:cs="Arial"/>
                <w:b/>
                <w:sz w:val="18"/>
                <w:szCs w:val="18"/>
              </w:rPr>
              <w:t>40297</w:t>
            </w:r>
          </w:p>
          <w:p w:rsidR="005F373E" w:rsidRPr="00E3386E" w:rsidRDefault="005F373E" w:rsidP="00174B9F">
            <w:pPr>
              <w:rPr>
                <w:rFonts w:ascii="Arial" w:hAnsi="Arial" w:cs="Arial"/>
                <w:b/>
                <w:sz w:val="16"/>
                <w:szCs w:val="16"/>
              </w:rPr>
            </w:pPr>
          </w:p>
        </w:tc>
        <w:tc>
          <w:tcPr>
            <w:tcW w:w="2621" w:type="dxa"/>
            <w:vMerge/>
          </w:tcPr>
          <w:p w:rsidR="005F373E" w:rsidRPr="00E3386E" w:rsidRDefault="005F373E" w:rsidP="00111CC6">
            <w:pPr>
              <w:jc w:val="both"/>
              <w:rPr>
                <w:rFonts w:ascii="Arial" w:eastAsia="Arial Unicode MS" w:hAnsi="Arial" w:cs="Arial"/>
                <w:sz w:val="16"/>
                <w:szCs w:val="16"/>
              </w:rPr>
            </w:pPr>
          </w:p>
        </w:tc>
        <w:tc>
          <w:tcPr>
            <w:tcW w:w="2410" w:type="dxa"/>
            <w:gridSpan w:val="2"/>
          </w:tcPr>
          <w:p w:rsidR="005F373E" w:rsidRDefault="005F373E" w:rsidP="00AA73B8">
            <w:pPr>
              <w:jc w:val="center"/>
              <w:rPr>
                <w:rFonts w:ascii="Arial" w:hAnsi="Arial" w:cs="Arial"/>
                <w:b/>
                <w:sz w:val="16"/>
                <w:szCs w:val="16"/>
              </w:rPr>
            </w:pPr>
          </w:p>
          <w:p w:rsidR="005F373E" w:rsidRPr="00E3386E" w:rsidRDefault="005F373E" w:rsidP="00AA73B8">
            <w:pPr>
              <w:jc w:val="center"/>
              <w:rPr>
                <w:rFonts w:ascii="Arial" w:hAnsi="Arial" w:cs="Arial"/>
                <w:b/>
                <w:sz w:val="16"/>
                <w:szCs w:val="16"/>
              </w:rPr>
            </w:pPr>
            <w:r w:rsidRPr="00E3386E">
              <w:rPr>
                <w:rFonts w:ascii="Arial" w:hAnsi="Arial" w:cs="Arial"/>
                <w:b/>
                <w:sz w:val="16"/>
                <w:szCs w:val="16"/>
              </w:rPr>
              <w:t>CONTRATACIÓN:</w:t>
            </w:r>
          </w:p>
          <w:p w:rsidR="005F373E" w:rsidRPr="00F31349" w:rsidRDefault="005F373E" w:rsidP="004C0827">
            <w:pPr>
              <w:jc w:val="center"/>
              <w:rPr>
                <w:rFonts w:ascii="Arial" w:hAnsi="Arial" w:cs="Arial"/>
                <w:b/>
                <w:sz w:val="16"/>
                <w:szCs w:val="16"/>
              </w:rPr>
            </w:pPr>
            <w:r>
              <w:rPr>
                <w:rFonts w:ascii="Arial" w:hAnsi="Arial" w:cs="Arial"/>
                <w:b/>
                <w:sz w:val="16"/>
                <w:szCs w:val="16"/>
              </w:rPr>
              <w:t>1</w:t>
            </w:r>
            <w:r w:rsidR="004C0827">
              <w:rPr>
                <w:rFonts w:ascii="Arial" w:hAnsi="Arial" w:cs="Arial"/>
                <w:b/>
                <w:sz w:val="16"/>
                <w:szCs w:val="16"/>
              </w:rPr>
              <w:t>3</w:t>
            </w:r>
            <w:r>
              <w:rPr>
                <w:rFonts w:ascii="Arial" w:hAnsi="Arial" w:cs="Arial"/>
                <w:b/>
                <w:sz w:val="16"/>
                <w:szCs w:val="16"/>
              </w:rPr>
              <w:t xml:space="preserve"> de </w:t>
            </w:r>
            <w:r w:rsidR="004C0827">
              <w:rPr>
                <w:rFonts w:ascii="Arial" w:hAnsi="Arial" w:cs="Arial"/>
                <w:b/>
                <w:sz w:val="16"/>
                <w:szCs w:val="16"/>
              </w:rPr>
              <w:t xml:space="preserve">Septiembre </w:t>
            </w:r>
            <w:r>
              <w:rPr>
                <w:rFonts w:ascii="Arial" w:hAnsi="Arial" w:cs="Arial"/>
                <w:b/>
                <w:sz w:val="16"/>
                <w:szCs w:val="16"/>
              </w:rPr>
              <w:t>de 2012</w:t>
            </w:r>
          </w:p>
        </w:tc>
        <w:tc>
          <w:tcPr>
            <w:tcW w:w="2410" w:type="dxa"/>
            <w:gridSpan w:val="2"/>
          </w:tcPr>
          <w:p w:rsidR="005F373E" w:rsidRPr="00E3386E" w:rsidRDefault="005F373E" w:rsidP="00EB6D0C">
            <w:pPr>
              <w:jc w:val="center"/>
              <w:rPr>
                <w:rFonts w:ascii="Arial" w:hAnsi="Arial" w:cs="Arial"/>
                <w:b/>
                <w:sz w:val="16"/>
                <w:szCs w:val="16"/>
              </w:rPr>
            </w:pPr>
            <w:r w:rsidRPr="00E3386E">
              <w:rPr>
                <w:rFonts w:ascii="Arial" w:hAnsi="Arial" w:cs="Arial"/>
                <w:b/>
                <w:sz w:val="16"/>
                <w:szCs w:val="16"/>
              </w:rPr>
              <w:t>PERIODO DE EJECUCIÓN:</w:t>
            </w:r>
          </w:p>
          <w:p w:rsidR="005F373E" w:rsidRPr="00E3386E" w:rsidRDefault="005F373E" w:rsidP="005F373E">
            <w:pPr>
              <w:jc w:val="center"/>
              <w:rPr>
                <w:rFonts w:ascii="Arial" w:hAnsi="Arial" w:cs="Arial"/>
                <w:sz w:val="16"/>
                <w:szCs w:val="16"/>
              </w:rPr>
            </w:pPr>
            <w:r>
              <w:rPr>
                <w:rFonts w:ascii="Arial" w:hAnsi="Arial" w:cs="Arial"/>
                <w:sz w:val="16"/>
                <w:szCs w:val="16"/>
              </w:rPr>
              <w:t xml:space="preserve"> 90 días naturales, estimando el inicio de los trabajos el día 17 de Septiembre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C29" w:rsidRDefault="00C13C29" w:rsidP="00F0423B">
      <w:r>
        <w:separator/>
      </w:r>
    </w:p>
  </w:endnote>
  <w:endnote w:type="continuationSeparator" w:id="0">
    <w:p w:rsidR="00C13C29" w:rsidRDefault="00C13C29"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91A54" w:rsidRDefault="00C13C29">
        <w:pPr>
          <w:pStyle w:val="Piedepgina"/>
          <w:jc w:val="right"/>
        </w:pPr>
        <w:r>
          <w:fldChar w:fldCharType="begin"/>
        </w:r>
        <w:r>
          <w:instrText xml:space="preserve"> PAGE   \* MERGEFORMAT </w:instrText>
        </w:r>
        <w:r>
          <w:fldChar w:fldCharType="separate"/>
        </w:r>
        <w:r w:rsidR="00324EFF">
          <w:rPr>
            <w:noProof/>
          </w:rPr>
          <w:t>1</w:t>
        </w:r>
        <w:r>
          <w:rPr>
            <w:noProof/>
          </w:rPr>
          <w:fldChar w:fldCharType="end"/>
        </w:r>
      </w:p>
    </w:sdtContent>
  </w:sdt>
  <w:p w:rsidR="00F91A54" w:rsidRDefault="00F91A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C29" w:rsidRDefault="00C13C29" w:rsidP="00F0423B">
      <w:r>
        <w:separator/>
      </w:r>
    </w:p>
  </w:footnote>
  <w:footnote w:type="continuationSeparator" w:id="0">
    <w:p w:rsidR="00C13C29" w:rsidRDefault="00C13C29"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324EFF"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31DF6">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sidR="002F3C05">
            <w:rPr>
              <w:rFonts w:ascii="Arial" w:hAnsi="Arial" w:cs="Arial"/>
              <w:b/>
              <w:sz w:val="14"/>
              <w:szCs w:val="14"/>
            </w:rPr>
            <w:t>RESCATE-067</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4EFF"/>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0FC6"/>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0827"/>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D1309"/>
    <w:rsid w:val="008D28DE"/>
    <w:rsid w:val="008D440D"/>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3C29"/>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1E2F"/>
    <w:rsid w:val="00FD1EDB"/>
    <w:rsid w:val="00FD28BF"/>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E23A8-9A5C-4BC0-8ADD-2C815C330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12919</Words>
  <Characters>71060</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2012-06-25T16:55:00Z</cp:lastPrinted>
  <dcterms:created xsi:type="dcterms:W3CDTF">2012-08-22T19:10:00Z</dcterms:created>
  <dcterms:modified xsi:type="dcterms:W3CDTF">2012-08-22T19:10:00Z</dcterms:modified>
</cp:coreProperties>
</file>